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A70" w:rsidRDefault="00237A70" w:rsidP="00752241">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rsidR="00237A70" w:rsidRDefault="00237A70" w:rsidP="00752241">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237A70" w:rsidRDefault="00237A70" w:rsidP="00752241">
      <w:pPr>
        <w:spacing w:after="0" w:line="480" w:lineRule="auto"/>
        <w:rPr>
          <w:rFonts w:ascii="Times New Roman" w:hAnsi="Times New Roman" w:cs="Times New Roman"/>
          <w:sz w:val="24"/>
          <w:szCs w:val="24"/>
        </w:rPr>
      </w:pPr>
      <w:r>
        <w:rPr>
          <w:rFonts w:ascii="Times New Roman" w:hAnsi="Times New Roman" w:cs="Times New Roman"/>
          <w:sz w:val="24"/>
          <w:szCs w:val="24"/>
        </w:rPr>
        <w:t>Subject</w:t>
      </w:r>
    </w:p>
    <w:p w:rsidR="00237A70" w:rsidRDefault="00573162" w:rsidP="00752241">
      <w:pPr>
        <w:spacing w:after="0" w:line="480" w:lineRule="auto"/>
        <w:rPr>
          <w:rFonts w:ascii="Times New Roman" w:hAnsi="Times New Roman" w:cs="Times New Roman"/>
          <w:sz w:val="24"/>
          <w:szCs w:val="24"/>
        </w:rPr>
      </w:pPr>
      <w:r>
        <w:rPr>
          <w:rFonts w:ascii="Times New Roman" w:hAnsi="Times New Roman" w:cs="Times New Roman"/>
          <w:sz w:val="24"/>
          <w:szCs w:val="24"/>
        </w:rPr>
        <w:t>4/15/2020</w:t>
      </w:r>
    </w:p>
    <w:p w:rsidR="00237A70" w:rsidRDefault="00237A70" w:rsidP="00752241">
      <w:pPr>
        <w:spacing w:after="0" w:line="480" w:lineRule="auto"/>
        <w:jc w:val="center"/>
        <w:rPr>
          <w:rFonts w:ascii="Times New Roman" w:hAnsi="Times New Roman" w:cs="Times New Roman"/>
          <w:sz w:val="24"/>
          <w:szCs w:val="24"/>
        </w:rPr>
      </w:pPr>
      <w:r w:rsidRPr="00237A70">
        <w:rPr>
          <w:rFonts w:ascii="Times New Roman" w:hAnsi="Times New Roman" w:cs="Times New Roman"/>
          <w:sz w:val="24"/>
          <w:szCs w:val="24"/>
        </w:rPr>
        <w:t>Theatre Analysis</w:t>
      </w:r>
      <w:bookmarkStart w:id="0" w:name="_GoBack"/>
      <w:bookmarkEnd w:id="0"/>
    </w:p>
    <w:p w:rsidR="007E079C" w:rsidRPr="00752241" w:rsidRDefault="007E079C" w:rsidP="00752241">
      <w:pPr>
        <w:spacing w:after="0" w:line="480" w:lineRule="auto"/>
        <w:jc w:val="both"/>
        <w:rPr>
          <w:rFonts w:ascii="Times New Roman" w:hAnsi="Times New Roman" w:cs="Times New Roman"/>
          <w:b/>
          <w:sz w:val="24"/>
          <w:szCs w:val="24"/>
        </w:rPr>
      </w:pPr>
      <w:r w:rsidRPr="00752241">
        <w:rPr>
          <w:rFonts w:ascii="Times New Roman" w:hAnsi="Times New Roman" w:cs="Times New Roman"/>
          <w:b/>
          <w:sz w:val="24"/>
          <w:szCs w:val="24"/>
        </w:rPr>
        <w:t>Acting Styles</w:t>
      </w:r>
    </w:p>
    <w:p w:rsidR="007E079C" w:rsidRPr="007E079C" w:rsidRDefault="007E079C" w:rsidP="00752241">
      <w:pPr>
        <w:spacing w:after="0" w:line="480" w:lineRule="auto"/>
        <w:jc w:val="both"/>
        <w:rPr>
          <w:rFonts w:ascii="Times New Roman" w:hAnsi="Times New Roman" w:cs="Times New Roman"/>
          <w:sz w:val="24"/>
          <w:szCs w:val="24"/>
        </w:rPr>
      </w:pPr>
      <w:r w:rsidRPr="007E079C">
        <w:rPr>
          <w:rFonts w:ascii="Times New Roman" w:hAnsi="Times New Roman" w:cs="Times New Roman"/>
          <w:sz w:val="24"/>
          <w:szCs w:val="24"/>
        </w:rPr>
        <w:tab/>
        <w:t>In Spain, actors performed dances and interludes to the audiences. Actors attired in spectacular costumes performed alongside the bullocks. Also, some plays were performed in cathedrals; however, the norm was discarded in the 17</w:t>
      </w:r>
      <w:r w:rsidRPr="007E079C">
        <w:rPr>
          <w:rFonts w:ascii="Times New Roman" w:hAnsi="Times New Roman" w:cs="Times New Roman"/>
          <w:sz w:val="24"/>
          <w:szCs w:val="24"/>
          <w:vertAlign w:val="superscript"/>
        </w:rPr>
        <w:t>th</w:t>
      </w:r>
      <w:r w:rsidRPr="007E079C">
        <w:rPr>
          <w:rFonts w:ascii="Times New Roman" w:hAnsi="Times New Roman" w:cs="Times New Roman"/>
          <w:sz w:val="24"/>
          <w:szCs w:val="24"/>
        </w:rPr>
        <w:t xml:space="preserve"> century (Brockett and Hildy 135).  Following the emergence of secular plays, Spain started “Comedia” that contained comic themes that were played for full lengths (Brockett and Hildy 138). Comedy was characterized by “cape and swords” and gentlemen actors were used to reinforce the themes of mythology, pastoralism, and technology. Acting began with prologues, compliments, or monologues. The acting style mentioned above was required to attract the attention of the audience and it was often followed by singing and dancing. Notably, most acting integrated speech in songs and dances. On the contrary, comedies in Italy were written in Latin. Most of these dramas were not performed in the early years, and those written in vernacular were performed in the 16</w:t>
      </w:r>
      <w:r w:rsidRPr="007E079C">
        <w:rPr>
          <w:rFonts w:ascii="Times New Roman" w:hAnsi="Times New Roman" w:cs="Times New Roman"/>
          <w:sz w:val="24"/>
          <w:szCs w:val="24"/>
          <w:vertAlign w:val="superscript"/>
        </w:rPr>
        <w:t>th</w:t>
      </w:r>
      <w:r w:rsidRPr="007E079C">
        <w:rPr>
          <w:rFonts w:ascii="Times New Roman" w:hAnsi="Times New Roman" w:cs="Times New Roman"/>
          <w:sz w:val="24"/>
          <w:szCs w:val="24"/>
        </w:rPr>
        <w:t xml:space="preserve"> century. Cardinal Bernado was the main force behind the prevalence of comedies performed in vernacular (Brockett and Hildy 153). Besides, acting in Italy was based on neoclassical ideals that revolved around the three unities of action, time, and place. </w:t>
      </w:r>
    </w:p>
    <w:p w:rsidR="007E079C" w:rsidRPr="00752241" w:rsidRDefault="007E079C" w:rsidP="00752241">
      <w:pPr>
        <w:spacing w:after="0" w:line="480" w:lineRule="auto"/>
        <w:jc w:val="both"/>
        <w:rPr>
          <w:rFonts w:ascii="Times New Roman" w:hAnsi="Times New Roman" w:cs="Times New Roman"/>
          <w:b/>
          <w:sz w:val="24"/>
          <w:szCs w:val="24"/>
        </w:rPr>
      </w:pPr>
      <w:r w:rsidRPr="00752241">
        <w:rPr>
          <w:rFonts w:ascii="Times New Roman" w:hAnsi="Times New Roman" w:cs="Times New Roman"/>
          <w:b/>
          <w:sz w:val="24"/>
          <w:szCs w:val="24"/>
        </w:rPr>
        <w:t>Theatre Spaces</w:t>
      </w:r>
    </w:p>
    <w:p w:rsidR="007E079C" w:rsidRPr="007E079C" w:rsidRDefault="007E079C" w:rsidP="00752241">
      <w:pPr>
        <w:spacing w:after="0" w:line="480" w:lineRule="auto"/>
        <w:jc w:val="both"/>
        <w:rPr>
          <w:rFonts w:ascii="Times New Roman" w:hAnsi="Times New Roman" w:cs="Times New Roman"/>
          <w:sz w:val="24"/>
          <w:szCs w:val="24"/>
        </w:rPr>
      </w:pPr>
      <w:r w:rsidRPr="007E079C">
        <w:rPr>
          <w:rFonts w:ascii="Times New Roman" w:hAnsi="Times New Roman" w:cs="Times New Roman"/>
          <w:sz w:val="24"/>
          <w:szCs w:val="24"/>
        </w:rPr>
        <w:tab/>
        <w:t xml:space="preserve">The Spanish used to perform in two-storied wagons; bullocks pulled the wagons with their gilded horns. Performances were sometimes done outside churches or courtyards of significant </w:t>
      </w:r>
      <w:r w:rsidRPr="007E079C">
        <w:rPr>
          <w:rFonts w:ascii="Times New Roman" w:hAnsi="Times New Roman" w:cs="Times New Roman"/>
          <w:sz w:val="24"/>
          <w:szCs w:val="24"/>
        </w:rPr>
        <w:lastRenderedPageBreak/>
        <w:t xml:space="preserve">societal buildings. Notably, most performances were carried out in town squares where all the citizens could access. The plays were mounted on wagons that had three autos that were used to offer scenery for the portable stages (Brockett and Hildy 136). The stages had entrance as well as dressing rooms for actors. The performance platforms also had two-storied wooden structures that had canvas painted all over them. The upper story was hinged to reveal the internal contents of the theatre spaces. The wagons also had equipment of flying objects that were pivoted onto the scene to reinforce airborne themes. In the 1570s, the Spanish started to build permanent corrales in Madrid and Seville (Brockett and Hildy 143). The corrales were built on rectangular and square courtyards that had adjustable shades. The windows on the corrales served as theatre boxes, while the structures at the rare end served as refreshment booths. The cazuelas had galleries on top that were divided into boxes for assignment to the authorities. </w:t>
      </w:r>
    </w:p>
    <w:p w:rsidR="007E079C" w:rsidRDefault="007E079C" w:rsidP="00752241">
      <w:pPr>
        <w:spacing w:after="0" w:line="480" w:lineRule="auto"/>
        <w:jc w:val="both"/>
        <w:rPr>
          <w:rFonts w:ascii="Times New Roman" w:hAnsi="Times New Roman" w:cs="Times New Roman"/>
          <w:sz w:val="24"/>
          <w:szCs w:val="24"/>
        </w:rPr>
      </w:pPr>
      <w:r w:rsidRPr="007E079C">
        <w:rPr>
          <w:rFonts w:ascii="Times New Roman" w:hAnsi="Times New Roman" w:cs="Times New Roman"/>
          <w:sz w:val="24"/>
          <w:szCs w:val="24"/>
        </w:rPr>
        <w:tab/>
        <w:t xml:space="preserve">On the other hand, theatre spaces in Italy were based on artistry and architectural designs that were perspective-oriented. Theatres were most set up in rooms that already existed, and had semi-circular auditoriums. The auditoriums had rectangular spaces and had stadium-like seating arrangements. The seats engulfed the orchestra where the rulers and other audience would sit during the performances (Brockett and Hildy 159). The stages were designed to portray perspective scenery. Besides, the front portions of the stages were leveled to enable easy movement of the actors. The back was slopped upwards to create an illusion of distance.  </w:t>
      </w:r>
    </w:p>
    <w:p w:rsidR="007E079C" w:rsidRPr="00752241" w:rsidRDefault="007E079C" w:rsidP="00752241">
      <w:pPr>
        <w:spacing w:after="0" w:line="480" w:lineRule="auto"/>
        <w:jc w:val="both"/>
        <w:rPr>
          <w:rFonts w:ascii="Times New Roman" w:hAnsi="Times New Roman" w:cs="Times New Roman"/>
          <w:b/>
          <w:sz w:val="24"/>
          <w:szCs w:val="24"/>
        </w:rPr>
      </w:pPr>
      <w:r w:rsidRPr="00752241">
        <w:rPr>
          <w:rFonts w:ascii="Times New Roman" w:hAnsi="Times New Roman" w:cs="Times New Roman"/>
          <w:b/>
          <w:sz w:val="24"/>
          <w:szCs w:val="24"/>
        </w:rPr>
        <w:t>Play Styles</w:t>
      </w:r>
    </w:p>
    <w:p w:rsidR="007E079C" w:rsidRPr="007E079C" w:rsidRDefault="007E079C" w:rsidP="00752241">
      <w:pPr>
        <w:spacing w:after="0" w:line="480" w:lineRule="auto"/>
        <w:ind w:firstLine="720"/>
        <w:jc w:val="both"/>
        <w:rPr>
          <w:rFonts w:ascii="Times New Roman" w:hAnsi="Times New Roman" w:cs="Times New Roman"/>
          <w:sz w:val="24"/>
          <w:szCs w:val="24"/>
        </w:rPr>
      </w:pPr>
      <w:r w:rsidRPr="007E079C">
        <w:rPr>
          <w:rFonts w:ascii="Times New Roman" w:hAnsi="Times New Roman" w:cs="Times New Roman"/>
          <w:sz w:val="24"/>
          <w:szCs w:val="24"/>
        </w:rPr>
        <w:t xml:space="preserve">In Spain, most plays are based on the Moorish culture that resided on the Iberian Peninsula in the 700s. Actors performing alongside bullocks played integral part in processing holy hosts representing “the body of Christ.” The hosts were carried through the alleys at the start of every festival before plays were performed. Besides, most plays in Spain were philosophical and poetic </w:t>
      </w:r>
      <w:r w:rsidRPr="007E079C">
        <w:rPr>
          <w:rFonts w:ascii="Times New Roman" w:hAnsi="Times New Roman" w:cs="Times New Roman"/>
          <w:sz w:val="24"/>
          <w:szCs w:val="24"/>
        </w:rPr>
        <w:lastRenderedPageBreak/>
        <w:t xml:space="preserve">intricacies that contained complex visual features. Noteworthy, the plays had classical themes based on biblical stories. On the contrary, In Italy plays emerged majorly due to Renaissance that led to the development of humanistic themes.  Like Spain, plays in Italy revolved around moral themes and rhetorical displays. For instance, plays like Alberto Mussato was based on Christian doctrines (Brockett and Hildy 152). Italy’s dramas also explored the themes of tragedy and pastoralism same to Spain. </w:t>
      </w:r>
    </w:p>
    <w:p w:rsidR="007E079C" w:rsidRPr="00752241" w:rsidRDefault="007E079C" w:rsidP="00752241">
      <w:pPr>
        <w:spacing w:after="0" w:line="480" w:lineRule="auto"/>
        <w:jc w:val="both"/>
        <w:rPr>
          <w:rFonts w:ascii="Times New Roman" w:hAnsi="Times New Roman" w:cs="Times New Roman"/>
          <w:b/>
          <w:sz w:val="24"/>
          <w:szCs w:val="24"/>
        </w:rPr>
      </w:pPr>
      <w:r w:rsidRPr="00752241">
        <w:rPr>
          <w:rFonts w:ascii="Times New Roman" w:hAnsi="Times New Roman" w:cs="Times New Roman"/>
          <w:b/>
          <w:sz w:val="24"/>
          <w:szCs w:val="24"/>
        </w:rPr>
        <w:t>Public Reactions</w:t>
      </w:r>
    </w:p>
    <w:p w:rsidR="007E079C" w:rsidRDefault="007E079C" w:rsidP="00752241">
      <w:pPr>
        <w:spacing w:after="0" w:line="480" w:lineRule="auto"/>
        <w:jc w:val="both"/>
        <w:rPr>
          <w:rFonts w:ascii="Times New Roman" w:hAnsi="Times New Roman" w:cs="Times New Roman"/>
          <w:sz w:val="24"/>
          <w:szCs w:val="24"/>
        </w:rPr>
      </w:pPr>
      <w:r w:rsidRPr="007E079C">
        <w:rPr>
          <w:rFonts w:ascii="Times New Roman" w:hAnsi="Times New Roman" w:cs="Times New Roman"/>
          <w:sz w:val="24"/>
          <w:szCs w:val="24"/>
        </w:rPr>
        <w:tab/>
        <w:t>The public was opined that the autos should be banned in the 1760s due its association with carnival spirits. Also, they objected the content of the dances and the farces since most of them were not morally-ideal but performed in religious plays (Brockett and Hildy 136). Most of the complaints emerged in the 16</w:t>
      </w:r>
      <w:r w:rsidRPr="007E079C">
        <w:rPr>
          <w:rFonts w:ascii="Times New Roman" w:hAnsi="Times New Roman" w:cs="Times New Roman"/>
          <w:sz w:val="24"/>
          <w:szCs w:val="24"/>
          <w:vertAlign w:val="superscript"/>
        </w:rPr>
        <w:t>th</w:t>
      </w:r>
      <w:r w:rsidRPr="007E079C">
        <w:rPr>
          <w:rFonts w:ascii="Times New Roman" w:hAnsi="Times New Roman" w:cs="Times New Roman"/>
          <w:sz w:val="24"/>
          <w:szCs w:val="24"/>
        </w:rPr>
        <w:t xml:space="preserve"> century, but other factors such as the death of Calderon in 1681 contributed to its extinction. In Italy, plays emerged as a result of the public being tired of religious dominance over life and learning (Brockett and Hildy 151). In this regard, persons started to develop a spirit of adventure among performers who were opined that plays should be based on artistic inquiry, geographical exploration, artistic creativity and scientific experimentation. </w:t>
      </w:r>
    </w:p>
    <w:p w:rsidR="007E079C" w:rsidRPr="00752241" w:rsidRDefault="007E079C" w:rsidP="00752241">
      <w:pPr>
        <w:spacing w:after="0" w:line="480" w:lineRule="auto"/>
        <w:jc w:val="both"/>
        <w:rPr>
          <w:rFonts w:ascii="Times New Roman" w:hAnsi="Times New Roman" w:cs="Times New Roman"/>
          <w:b/>
          <w:sz w:val="24"/>
          <w:szCs w:val="24"/>
        </w:rPr>
      </w:pPr>
      <w:r w:rsidRPr="00752241">
        <w:rPr>
          <w:rFonts w:ascii="Times New Roman" w:hAnsi="Times New Roman" w:cs="Times New Roman"/>
          <w:b/>
          <w:sz w:val="24"/>
          <w:szCs w:val="24"/>
        </w:rPr>
        <w:t>Government Influences</w:t>
      </w:r>
    </w:p>
    <w:p w:rsidR="007E079C" w:rsidRPr="007E079C" w:rsidRDefault="007E079C" w:rsidP="00752241">
      <w:pPr>
        <w:spacing w:after="0" w:line="480" w:lineRule="auto"/>
        <w:jc w:val="both"/>
        <w:rPr>
          <w:rFonts w:ascii="Times New Roman" w:hAnsi="Times New Roman" w:cs="Times New Roman"/>
          <w:sz w:val="24"/>
          <w:szCs w:val="24"/>
        </w:rPr>
      </w:pPr>
      <w:r w:rsidRPr="007E079C">
        <w:rPr>
          <w:rFonts w:ascii="Times New Roman" w:hAnsi="Times New Roman" w:cs="Times New Roman"/>
          <w:sz w:val="24"/>
          <w:szCs w:val="24"/>
        </w:rPr>
        <w:tab/>
        <w:t xml:space="preserve">Spanish drama was influenced by its strategic position as a world power. In this regard, it became a dominant force in the play industry. Also, the voyage of Christopher Columbus heralded the play scene in Spain since people from the outside world became in Spanish affairs. Besides, the rise of King Charles 1 in 1519 led to Spain controlling some parts of Europe and Africa; therefore, it became the most powerful nation in Western Europe (Brockett and Hildy 134). Like Spain, Italy’s theatre performance escalated due to its strategic position. Italy was a </w:t>
      </w:r>
      <w:r w:rsidRPr="007E079C">
        <w:rPr>
          <w:rFonts w:ascii="Times New Roman" w:hAnsi="Times New Roman" w:cs="Times New Roman"/>
          <w:sz w:val="24"/>
          <w:szCs w:val="24"/>
        </w:rPr>
        <w:lastRenderedPageBreak/>
        <w:t>trade terminus for both Africa and Africa. Also, it hosted the Roman Catholic Church that was characterized by political influences with regards to papacy issues in the 13</w:t>
      </w:r>
      <w:r w:rsidRPr="007E079C">
        <w:rPr>
          <w:rFonts w:ascii="Times New Roman" w:hAnsi="Times New Roman" w:cs="Times New Roman"/>
          <w:sz w:val="24"/>
          <w:szCs w:val="24"/>
          <w:vertAlign w:val="superscript"/>
        </w:rPr>
        <w:t>th</w:t>
      </w:r>
      <w:r w:rsidRPr="007E079C">
        <w:rPr>
          <w:rFonts w:ascii="Times New Roman" w:hAnsi="Times New Roman" w:cs="Times New Roman"/>
          <w:sz w:val="24"/>
          <w:szCs w:val="24"/>
        </w:rPr>
        <w:t xml:space="preserve"> century (Brockett and Hildy 151).</w:t>
      </w:r>
    </w:p>
    <w:p w:rsidR="00752241" w:rsidRDefault="00752241" w:rsidP="00752241">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573162" w:rsidRDefault="00573162" w:rsidP="0075224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573162" w:rsidRDefault="00E90F0F" w:rsidP="0075224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Brockett, Oscar and Hildy, Franklin. </w:t>
      </w:r>
      <w:r w:rsidRPr="00E90F0F">
        <w:rPr>
          <w:rFonts w:ascii="Times New Roman" w:hAnsi="Times New Roman" w:cs="Times New Roman"/>
          <w:i/>
          <w:sz w:val="24"/>
          <w:szCs w:val="24"/>
        </w:rPr>
        <w:t>The History of the Theatre, Foundation Edition</w:t>
      </w:r>
      <w:r>
        <w:rPr>
          <w:rFonts w:ascii="Times New Roman" w:hAnsi="Times New Roman" w:cs="Times New Roman"/>
          <w:sz w:val="24"/>
          <w:szCs w:val="24"/>
        </w:rPr>
        <w:t xml:space="preserve">. United </w:t>
      </w:r>
    </w:p>
    <w:p w:rsidR="00E90F0F" w:rsidRPr="00237A70" w:rsidRDefault="00E90F0F" w:rsidP="00752241">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Kingdom: Pearson; Foundation Ed edition, 2006, 1-608. </w:t>
      </w:r>
    </w:p>
    <w:sectPr w:rsidR="00E90F0F" w:rsidRPr="00237A70" w:rsidSect="00237A70">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71F7" w:rsidRDefault="006C71F7" w:rsidP="00237A70">
      <w:pPr>
        <w:spacing w:after="0" w:line="240" w:lineRule="auto"/>
      </w:pPr>
      <w:r>
        <w:separator/>
      </w:r>
    </w:p>
  </w:endnote>
  <w:endnote w:type="continuationSeparator" w:id="0">
    <w:p w:rsidR="006C71F7" w:rsidRDefault="006C71F7" w:rsidP="00237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71F7" w:rsidRDefault="006C71F7" w:rsidP="00237A70">
      <w:pPr>
        <w:spacing w:after="0" w:line="240" w:lineRule="auto"/>
      </w:pPr>
      <w:r>
        <w:separator/>
      </w:r>
    </w:p>
  </w:footnote>
  <w:footnote w:type="continuationSeparator" w:id="0">
    <w:p w:rsidR="006C71F7" w:rsidRDefault="006C71F7" w:rsidP="00237A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A70" w:rsidRPr="00237A70" w:rsidRDefault="00237A70" w:rsidP="00237A70">
    <w:pPr>
      <w:pStyle w:val="Header"/>
      <w:spacing w:line="480" w:lineRule="auto"/>
      <w:jc w:val="right"/>
      <w:rPr>
        <w:rFonts w:ascii="Times New Roman" w:hAnsi="Times New Roman" w:cs="Times New Roman"/>
        <w:sz w:val="24"/>
        <w:szCs w:val="24"/>
      </w:rPr>
    </w:pPr>
    <w:r w:rsidRPr="00237A70">
      <w:rPr>
        <w:rFonts w:ascii="Times New Roman" w:hAnsi="Times New Roman" w:cs="Times New Roman"/>
        <w:sz w:val="24"/>
        <w:szCs w:val="24"/>
      </w:rPr>
      <w:t xml:space="preserve">Surname </w:t>
    </w:r>
    <w:sdt>
      <w:sdtPr>
        <w:rPr>
          <w:rFonts w:ascii="Times New Roman" w:hAnsi="Times New Roman" w:cs="Times New Roman"/>
          <w:sz w:val="24"/>
          <w:szCs w:val="24"/>
        </w:rPr>
        <w:id w:val="-2003118831"/>
        <w:docPartObj>
          <w:docPartGallery w:val="Page Numbers (Top of Page)"/>
          <w:docPartUnique/>
        </w:docPartObj>
      </w:sdtPr>
      <w:sdtEndPr>
        <w:rPr>
          <w:noProof/>
        </w:rPr>
      </w:sdtEndPr>
      <w:sdtContent>
        <w:r w:rsidRPr="00237A70">
          <w:rPr>
            <w:rFonts w:ascii="Times New Roman" w:hAnsi="Times New Roman" w:cs="Times New Roman"/>
            <w:sz w:val="24"/>
            <w:szCs w:val="24"/>
          </w:rPr>
          <w:fldChar w:fldCharType="begin"/>
        </w:r>
        <w:r w:rsidRPr="00237A70">
          <w:rPr>
            <w:rFonts w:ascii="Times New Roman" w:hAnsi="Times New Roman" w:cs="Times New Roman"/>
            <w:sz w:val="24"/>
            <w:szCs w:val="24"/>
          </w:rPr>
          <w:instrText xml:space="preserve"> PAGE   \* MERGEFORMAT </w:instrText>
        </w:r>
        <w:r w:rsidRPr="00237A70">
          <w:rPr>
            <w:rFonts w:ascii="Times New Roman" w:hAnsi="Times New Roman" w:cs="Times New Roman"/>
            <w:sz w:val="24"/>
            <w:szCs w:val="24"/>
          </w:rPr>
          <w:fldChar w:fldCharType="separate"/>
        </w:r>
        <w:r w:rsidR="00FD73E2">
          <w:rPr>
            <w:rFonts w:ascii="Times New Roman" w:hAnsi="Times New Roman" w:cs="Times New Roman"/>
            <w:noProof/>
            <w:sz w:val="24"/>
            <w:szCs w:val="24"/>
          </w:rPr>
          <w:t>1</w:t>
        </w:r>
        <w:r w:rsidRPr="00237A70">
          <w:rPr>
            <w:rFonts w:ascii="Times New Roman" w:hAnsi="Times New Roman" w:cs="Times New Roman"/>
            <w:noProof/>
            <w:sz w:val="24"/>
            <w:szCs w:val="24"/>
          </w:rPr>
          <w:fldChar w:fldCharType="end"/>
        </w:r>
      </w:sdtContent>
    </w:sdt>
  </w:p>
  <w:p w:rsidR="00237A70" w:rsidRDefault="00237A7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A70" w:rsidRDefault="00237A70">
    <w:pPr>
      <w:pStyle w:val="Header"/>
      <w:jc w:val="right"/>
    </w:pPr>
    <w:r>
      <w:t xml:space="preserve">Running head: </w:t>
    </w:r>
    <w:sdt>
      <w:sdtPr>
        <w:id w:val="10858124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237A70" w:rsidRDefault="00237A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A70"/>
    <w:rsid w:val="00092538"/>
    <w:rsid w:val="0009640C"/>
    <w:rsid w:val="001A384F"/>
    <w:rsid w:val="00237A70"/>
    <w:rsid w:val="002524A8"/>
    <w:rsid w:val="002E68F0"/>
    <w:rsid w:val="00382EAA"/>
    <w:rsid w:val="004347BD"/>
    <w:rsid w:val="0051337B"/>
    <w:rsid w:val="00573162"/>
    <w:rsid w:val="005D14B2"/>
    <w:rsid w:val="005E7521"/>
    <w:rsid w:val="0062054D"/>
    <w:rsid w:val="00633713"/>
    <w:rsid w:val="006C71F7"/>
    <w:rsid w:val="00752241"/>
    <w:rsid w:val="007E079C"/>
    <w:rsid w:val="00952C2B"/>
    <w:rsid w:val="0098243F"/>
    <w:rsid w:val="00A66623"/>
    <w:rsid w:val="00AE1708"/>
    <w:rsid w:val="00C43F08"/>
    <w:rsid w:val="00C77806"/>
    <w:rsid w:val="00C83DC0"/>
    <w:rsid w:val="00CA6E8E"/>
    <w:rsid w:val="00CF2E8E"/>
    <w:rsid w:val="00E020F4"/>
    <w:rsid w:val="00E6219F"/>
    <w:rsid w:val="00E90F0F"/>
    <w:rsid w:val="00EC667B"/>
    <w:rsid w:val="00FA324D"/>
    <w:rsid w:val="00FD3E39"/>
    <w:rsid w:val="00FD7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54223"/>
  <w15:docId w15:val="{D32B9AE8-17A1-43BC-AE0D-1D33A85FB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7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A70"/>
  </w:style>
  <w:style w:type="paragraph" w:styleId="Footer">
    <w:name w:val="footer"/>
    <w:basedOn w:val="Normal"/>
    <w:link w:val="FooterChar"/>
    <w:uiPriority w:val="99"/>
    <w:unhideWhenUsed/>
    <w:rsid w:val="00237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A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872</Words>
  <Characters>4975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2020-04-17T18:58:00Z</dcterms:created>
  <dcterms:modified xsi:type="dcterms:W3CDTF">2020-04-17T18:58:00Z</dcterms:modified>
</cp:coreProperties>
</file>